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whatsoever,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mumbo-jumbo,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proclamation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JoeMillerInjuryLaw.com.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What is an Award Agreement in Virginia Workers' ... (Completed  06/17/19)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18,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"https://www.rev.com/transcript-editor/shared/IXtp3sd_VwXsKx_GxrI8pXhpsFSo0w-dkgDSN9NJ7DdGqbgwiuDp9wwoRYaM0evw8JdJW3nmaQz8E14qmvVecxFo9Dw?loadFrom=DocumentHeaderDeepLink"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