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00:01:29],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prosthetics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prosthetics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prosthetic,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prosthetics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prosthetics,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prosthetics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compensated.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Why You Should Call a Workers Compensation Attor... (Completed  06/17/19)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"https://www.rev.com/transcript-editor/shared/8S9TqVdgk2rYWrZGPY_ehC0bLsIeANBO20NfZQVMsrFDz_J60z8LuSPeN03c6sq8046-NIzboFF50qaeSR0BDDGMJ14?loadFrom=DocumentHeaderDeepLink"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